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FE" w:rsidRPr="009E1F3E" w:rsidRDefault="00FC04BF" w:rsidP="008E7AFE">
      <w:pPr>
        <w:spacing w:line="560" w:lineRule="exact"/>
        <w:jc w:val="center"/>
        <w:rPr>
          <w:rFonts w:asciiTheme="minorEastAsia" w:eastAsiaTheme="minorEastAsia" w:hAnsiTheme="minorEastAsia"/>
          <w:b/>
          <w:bCs/>
          <w:spacing w:val="-6"/>
          <w:sz w:val="36"/>
          <w:szCs w:val="36"/>
        </w:rPr>
      </w:pPr>
      <w:r w:rsidRPr="009E1F3E">
        <w:rPr>
          <w:rFonts w:asciiTheme="minorEastAsia" w:eastAsiaTheme="minorEastAsia" w:hAnsiTheme="minorEastAsia" w:hint="eastAsia"/>
          <w:b/>
          <w:bCs/>
          <w:spacing w:val="-6"/>
          <w:sz w:val="36"/>
          <w:szCs w:val="36"/>
        </w:rPr>
        <w:t>文学院</w:t>
      </w:r>
      <w:r w:rsidR="008E7AFE" w:rsidRPr="009E1F3E">
        <w:rPr>
          <w:rFonts w:asciiTheme="minorEastAsia" w:eastAsiaTheme="minorEastAsia" w:hAnsiTheme="minorEastAsia" w:hint="eastAsia"/>
          <w:b/>
          <w:bCs/>
          <w:spacing w:val="-6"/>
          <w:sz w:val="36"/>
          <w:szCs w:val="36"/>
        </w:rPr>
        <w:t>关于开展教学课件检查及展评活动的</w:t>
      </w:r>
      <w:r w:rsidRPr="009E1F3E">
        <w:rPr>
          <w:rFonts w:asciiTheme="minorEastAsia" w:eastAsiaTheme="minorEastAsia" w:hAnsiTheme="minorEastAsia" w:hint="eastAsia"/>
          <w:b/>
          <w:bCs/>
          <w:spacing w:val="-6"/>
          <w:sz w:val="36"/>
          <w:szCs w:val="36"/>
        </w:rPr>
        <w:t>实施细则</w:t>
      </w:r>
    </w:p>
    <w:p w:rsidR="002D283B" w:rsidRDefault="002D283B"/>
    <w:p w:rsidR="008E7AFE" w:rsidRDefault="008E7AFE"/>
    <w:p w:rsidR="008E7AFE" w:rsidRPr="001B2C92" w:rsidRDefault="008E7AFE" w:rsidP="008E7AFE">
      <w:pPr>
        <w:spacing w:line="560" w:lineRule="exact"/>
        <w:rPr>
          <w:rFonts w:ascii="仿宋_GB2312" w:eastAsia="仿宋_GB2312" w:hAnsi="宋体"/>
          <w:sz w:val="32"/>
        </w:rPr>
      </w:pPr>
      <w:r w:rsidRPr="001B2C92">
        <w:rPr>
          <w:rFonts w:ascii="仿宋_GB2312" w:eastAsia="仿宋_GB2312" w:hAnsi="宋体" w:hint="eastAsia"/>
          <w:sz w:val="32"/>
        </w:rPr>
        <w:t>各</w:t>
      </w:r>
      <w:r>
        <w:rPr>
          <w:rFonts w:ascii="仿宋_GB2312" w:eastAsia="仿宋_GB2312" w:hAnsi="宋体" w:hint="eastAsia"/>
          <w:sz w:val="32"/>
        </w:rPr>
        <w:t>系（部）</w:t>
      </w:r>
      <w:r w:rsidRPr="001B2C92">
        <w:rPr>
          <w:rFonts w:ascii="仿宋_GB2312" w:eastAsia="仿宋_GB2312" w:hAnsi="宋体" w:hint="eastAsia"/>
          <w:sz w:val="32"/>
        </w:rPr>
        <w:t>：</w:t>
      </w:r>
    </w:p>
    <w:p w:rsidR="008E7AFE" w:rsidRPr="008E7AFE" w:rsidRDefault="008E7AFE" w:rsidP="008E7AFE">
      <w:pPr>
        <w:spacing w:line="520" w:lineRule="exact"/>
        <w:ind w:firstLine="646"/>
        <w:rPr>
          <w:rFonts w:ascii="仿宋_GB2312" w:eastAsia="仿宋_GB2312" w:hAnsi="宋体"/>
          <w:color w:val="000000"/>
          <w:sz w:val="30"/>
          <w:szCs w:val="30"/>
        </w:rPr>
      </w:pPr>
      <w:r w:rsidRPr="00A73E10">
        <w:rPr>
          <w:rFonts w:ascii="仿宋_GB2312" w:eastAsia="仿宋_GB2312" w:hAnsi="宋体" w:hint="eastAsia"/>
          <w:color w:val="000000"/>
          <w:sz w:val="30"/>
          <w:szCs w:val="30"/>
        </w:rPr>
        <w:t>为了充分发挥多媒体在课堂教学中的作用，提高我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院</w:t>
      </w:r>
      <w:r w:rsidRPr="00A73E10">
        <w:rPr>
          <w:rFonts w:ascii="仿宋_GB2312" w:eastAsia="仿宋_GB2312" w:hAnsi="宋体" w:hint="eastAsia"/>
          <w:color w:val="000000"/>
          <w:sz w:val="30"/>
          <w:szCs w:val="30"/>
        </w:rPr>
        <w:t>教师制作教学课件的水平，切实提高课堂教学水平，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根据</w:t>
      </w:r>
      <w:r w:rsidRPr="008E7AFE">
        <w:rPr>
          <w:rFonts w:ascii="仿宋_GB2312" w:eastAsia="仿宋_GB2312" w:hAnsi="宋体" w:hint="eastAsia"/>
          <w:color w:val="000000"/>
          <w:sz w:val="30"/>
          <w:szCs w:val="30"/>
        </w:rPr>
        <w:t>西建大教发〔2017〕1号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“</w:t>
      </w:r>
      <w:r w:rsidRPr="008E7AFE">
        <w:rPr>
          <w:rFonts w:ascii="仿宋_GB2312" w:eastAsia="仿宋_GB2312" w:hAnsi="宋体" w:hint="eastAsia"/>
          <w:color w:val="000000"/>
          <w:sz w:val="30"/>
          <w:szCs w:val="30"/>
        </w:rPr>
        <w:t>关于开展教学课件检查及展评活动的通知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”要求，经学院研究决定，</w:t>
      </w:r>
      <w:r w:rsidRPr="008E7AFE">
        <w:rPr>
          <w:rFonts w:ascii="仿宋_GB2312" w:eastAsia="仿宋_GB2312" w:hAnsi="宋体" w:hint="eastAsia"/>
          <w:color w:val="000000"/>
          <w:sz w:val="30"/>
          <w:szCs w:val="30"/>
        </w:rPr>
        <w:t>开展2017年度文学院教学课件检查及展评活动。现将具体事项通知如下：</w:t>
      </w:r>
    </w:p>
    <w:p w:rsidR="008E7AFE" w:rsidRDefault="008E7AFE"/>
    <w:p w:rsidR="00E01100" w:rsidRPr="00A73E10" w:rsidRDefault="00E01100" w:rsidP="00E01100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sz w:val="30"/>
          <w:szCs w:val="30"/>
        </w:rPr>
        <w:t>一、活动宗旨</w:t>
      </w:r>
    </w:p>
    <w:p w:rsidR="00E01100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本次活动旨在提升全院</w:t>
      </w:r>
      <w:r w:rsidRPr="00A73E10">
        <w:rPr>
          <w:rFonts w:ascii="仿宋_GB2312" w:eastAsia="仿宋_GB2312" w:hAnsi="仿宋" w:hint="eastAsia"/>
          <w:sz w:val="30"/>
          <w:szCs w:val="30"/>
        </w:rPr>
        <w:t>教师的教学课件制作水平，规范教学课件的</w:t>
      </w:r>
      <w:r>
        <w:rPr>
          <w:rFonts w:ascii="仿宋_GB2312" w:eastAsia="仿宋_GB2312" w:hAnsi="仿宋" w:hint="eastAsia"/>
          <w:sz w:val="30"/>
          <w:szCs w:val="30"/>
        </w:rPr>
        <w:t>授课</w:t>
      </w:r>
      <w:r w:rsidRPr="00A73E10">
        <w:rPr>
          <w:rFonts w:ascii="仿宋_GB2312" w:eastAsia="仿宋_GB2312" w:hAnsi="仿宋" w:hint="eastAsia"/>
          <w:sz w:val="30"/>
          <w:szCs w:val="30"/>
        </w:rPr>
        <w:t>，遴选优秀课件进行表彰，使教学课件真正服务于教学，活跃课堂教学气氛，提高学生兴趣，调动学生课堂学习的积极性，拓展学生的知识视野，提高教学效果。</w:t>
      </w:r>
    </w:p>
    <w:p w:rsidR="00E01100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01100" w:rsidRPr="00A73E10" w:rsidRDefault="00E01100" w:rsidP="00E01100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sz w:val="30"/>
          <w:szCs w:val="30"/>
        </w:rPr>
        <w:t>二、检查范围</w:t>
      </w:r>
    </w:p>
    <w:p w:rsidR="00E01100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凡2017年度使用多媒体教室上课的教师所制作的教学课件。</w:t>
      </w:r>
    </w:p>
    <w:p w:rsidR="00FC04BF" w:rsidRPr="00A73E10" w:rsidRDefault="00FC04BF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01100" w:rsidRPr="00A73E10" w:rsidRDefault="00E01100" w:rsidP="00E01100">
      <w:pPr>
        <w:spacing w:line="520" w:lineRule="exact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bCs/>
          <w:sz w:val="30"/>
          <w:szCs w:val="30"/>
        </w:rPr>
        <w:t>三、时间安排及组织实施</w:t>
      </w:r>
    </w:p>
    <w:p w:rsidR="00E01100" w:rsidRPr="009E1F3E" w:rsidRDefault="00E01100" w:rsidP="00E01100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sz w:val="30"/>
          <w:szCs w:val="30"/>
        </w:rPr>
        <w:t>1.动员、培训及课件自查阶段</w:t>
      </w:r>
      <w:r w:rsidRPr="00E55284">
        <w:rPr>
          <w:rFonts w:ascii="仿宋_GB2312" w:eastAsia="仿宋_GB2312" w:hAnsi="仿宋" w:hint="eastAsia"/>
          <w:b/>
          <w:sz w:val="30"/>
          <w:szCs w:val="30"/>
        </w:rPr>
        <w:t>（2017年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3月</w:t>
      </w:r>
      <w:r w:rsidR="00631E2B" w:rsidRPr="009E1F3E">
        <w:rPr>
          <w:rFonts w:ascii="仿宋_GB2312" w:eastAsia="仿宋_GB2312" w:hAnsi="仿宋" w:hint="eastAsia"/>
          <w:b/>
          <w:sz w:val="30"/>
          <w:szCs w:val="30"/>
        </w:rPr>
        <w:t>10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日-</w:t>
      </w:r>
      <w:r w:rsidR="002A1D08" w:rsidRPr="009E1F3E">
        <w:rPr>
          <w:rFonts w:ascii="仿宋_GB2312" w:eastAsia="仿宋_GB2312" w:hAnsi="仿宋" w:hint="eastAsia"/>
          <w:b/>
          <w:sz w:val="30"/>
          <w:szCs w:val="30"/>
        </w:rPr>
        <w:t>5月</w:t>
      </w:r>
      <w:r w:rsidR="002A1D08" w:rsidRPr="009E1F3E">
        <w:rPr>
          <w:rFonts w:ascii="仿宋_GB2312" w:eastAsia="仿宋_GB2312" w:hAnsi="仿宋"/>
          <w:b/>
          <w:sz w:val="30"/>
          <w:szCs w:val="30"/>
        </w:rPr>
        <w:t>20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日</w:t>
      </w:r>
      <w:r w:rsidR="002A1D08" w:rsidRPr="009E1F3E">
        <w:rPr>
          <w:rFonts w:ascii="仿宋_GB2312" w:eastAsia="仿宋_GB2312" w:hAnsi="仿宋" w:hint="eastAsia"/>
          <w:b/>
          <w:sz w:val="30"/>
          <w:szCs w:val="30"/>
        </w:rPr>
        <w:t>（3-11周）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）</w:t>
      </w:r>
    </w:p>
    <w:p w:rsidR="00E01100" w:rsidRPr="00A73E10" w:rsidRDefault="00E7282E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各</w:t>
      </w:r>
      <w:r>
        <w:rPr>
          <w:rFonts w:ascii="仿宋_GB2312" w:eastAsia="仿宋_GB2312" w:hAnsi="仿宋" w:hint="eastAsia"/>
          <w:sz w:val="30"/>
          <w:szCs w:val="30"/>
        </w:rPr>
        <w:t>系（部）</w:t>
      </w:r>
      <w:r w:rsidRPr="00A73E10">
        <w:rPr>
          <w:rFonts w:ascii="仿宋_GB2312" w:eastAsia="仿宋_GB2312" w:hAnsi="仿宋" w:hint="eastAsia"/>
          <w:sz w:val="30"/>
          <w:szCs w:val="30"/>
        </w:rPr>
        <w:t>应广泛动员，组织全体教师开展教学课件设计与制作为主题的研究活动，切实提高授课课件的质量和水平。</w:t>
      </w:r>
      <w:r w:rsidR="00E01100">
        <w:rPr>
          <w:rFonts w:ascii="仿宋_GB2312" w:eastAsia="仿宋_GB2312" w:hAnsi="仿宋" w:hint="eastAsia"/>
          <w:sz w:val="30"/>
          <w:szCs w:val="30"/>
        </w:rPr>
        <w:t>组织教师参加</w:t>
      </w:r>
      <w:r w:rsidR="00E01100" w:rsidRPr="00A73E10">
        <w:rPr>
          <w:rFonts w:ascii="仿宋_GB2312" w:eastAsia="仿宋_GB2312" w:hAnsi="仿宋" w:hint="eastAsia"/>
          <w:sz w:val="30"/>
          <w:szCs w:val="30"/>
        </w:rPr>
        <w:t>教师发展中心</w:t>
      </w:r>
      <w:r w:rsidR="00E01100">
        <w:rPr>
          <w:rFonts w:ascii="仿宋_GB2312" w:eastAsia="仿宋_GB2312" w:hAnsi="仿宋" w:hint="eastAsia"/>
          <w:sz w:val="30"/>
          <w:szCs w:val="30"/>
        </w:rPr>
        <w:t>举办的</w:t>
      </w:r>
      <w:r w:rsidR="00E01100" w:rsidRPr="00A73E10">
        <w:rPr>
          <w:rFonts w:ascii="仿宋_GB2312" w:eastAsia="仿宋_GB2312" w:hAnsi="仿宋" w:hint="eastAsia"/>
          <w:sz w:val="30"/>
          <w:szCs w:val="30"/>
        </w:rPr>
        <w:t>课件制作的工作坊等相关培训活动，帮助教师提高制作课件的基本技能。</w:t>
      </w:r>
    </w:p>
    <w:p w:rsidR="00E01100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每位授课教师对照《西安建筑科技大学教学课件（PPT）评</w:t>
      </w:r>
      <w:r w:rsidRPr="00A73E10">
        <w:rPr>
          <w:rFonts w:ascii="仿宋_GB2312" w:eastAsia="仿宋_GB2312" w:hAnsi="仿宋" w:hint="eastAsia"/>
          <w:sz w:val="30"/>
          <w:szCs w:val="30"/>
        </w:rPr>
        <w:lastRenderedPageBreak/>
        <w:t>分标准》</w:t>
      </w:r>
      <w:r w:rsidRPr="00E55284">
        <w:rPr>
          <w:rFonts w:ascii="仿宋_GB2312" w:eastAsia="仿宋_GB2312" w:hAnsi="仿宋" w:hint="eastAsia"/>
          <w:sz w:val="30"/>
          <w:szCs w:val="30"/>
        </w:rPr>
        <w:t>（附件1）</w:t>
      </w:r>
      <w:r w:rsidRPr="00A73E10">
        <w:rPr>
          <w:rFonts w:ascii="仿宋_GB2312" w:eastAsia="仿宋_GB2312" w:hAnsi="仿宋" w:hint="eastAsia"/>
          <w:sz w:val="30"/>
          <w:szCs w:val="30"/>
        </w:rPr>
        <w:t>进行自查，对存在的问题进行整改。</w:t>
      </w:r>
    </w:p>
    <w:p w:rsidR="00E7282E" w:rsidRDefault="00E7282E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各</w:t>
      </w:r>
      <w:r>
        <w:rPr>
          <w:rFonts w:ascii="仿宋_GB2312" w:eastAsia="仿宋_GB2312" w:hAnsi="仿宋" w:hint="eastAsia"/>
          <w:sz w:val="30"/>
          <w:szCs w:val="30"/>
        </w:rPr>
        <w:t>系（部）</w:t>
      </w:r>
      <w:r w:rsidR="00E01100" w:rsidRPr="00A73E10">
        <w:rPr>
          <w:rFonts w:ascii="仿宋_GB2312" w:eastAsia="仿宋_GB2312" w:hAnsi="仿宋" w:hint="eastAsia"/>
          <w:sz w:val="30"/>
          <w:szCs w:val="30"/>
        </w:rPr>
        <w:t>对本</w:t>
      </w:r>
      <w:r w:rsidR="00F047AD">
        <w:rPr>
          <w:rFonts w:ascii="仿宋_GB2312" w:eastAsia="仿宋_GB2312" w:hAnsi="仿宋" w:hint="eastAsia"/>
          <w:sz w:val="30"/>
          <w:szCs w:val="30"/>
        </w:rPr>
        <w:t>系（部）</w:t>
      </w:r>
      <w:r w:rsidR="00E01100" w:rsidRPr="00A73E10">
        <w:rPr>
          <w:rFonts w:ascii="仿宋_GB2312" w:eastAsia="仿宋_GB2312" w:hAnsi="仿宋" w:hint="eastAsia"/>
          <w:sz w:val="30"/>
          <w:szCs w:val="30"/>
        </w:rPr>
        <w:t>2017年度的所有授课课件进行检查，填写《</w:t>
      </w:r>
      <w:r w:rsidR="00631E2B" w:rsidRPr="00E7282E">
        <w:rPr>
          <w:rFonts w:ascii="仿宋_GB2312" w:eastAsia="仿宋_GB2312" w:hAnsi="仿宋" w:hint="eastAsia"/>
          <w:sz w:val="30"/>
          <w:szCs w:val="30"/>
        </w:rPr>
        <w:t>文学院教学课件系（部）自查情况汇总表</w:t>
      </w:r>
      <w:r w:rsidR="00E01100" w:rsidRPr="00A73E10">
        <w:rPr>
          <w:rFonts w:ascii="仿宋_GB2312" w:eastAsia="仿宋_GB2312" w:hAnsi="仿宋" w:hint="eastAsia"/>
          <w:sz w:val="30"/>
          <w:szCs w:val="30"/>
        </w:rPr>
        <w:t>》（附件2），对存在问题的教学课件应有整改要求和措施。</w:t>
      </w:r>
    </w:p>
    <w:p w:rsidR="00E01100" w:rsidRPr="009E1F3E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9E1F3E">
        <w:rPr>
          <w:rFonts w:ascii="仿宋_GB2312" w:eastAsia="仿宋_GB2312" w:hAnsi="仿宋" w:hint="eastAsia"/>
          <w:sz w:val="30"/>
          <w:szCs w:val="30"/>
        </w:rPr>
        <w:t>各</w:t>
      </w:r>
      <w:r w:rsidR="00E7282E" w:rsidRPr="009E1F3E">
        <w:rPr>
          <w:rFonts w:ascii="仿宋_GB2312" w:eastAsia="仿宋_GB2312" w:hAnsi="仿宋" w:hint="eastAsia"/>
          <w:sz w:val="30"/>
          <w:szCs w:val="30"/>
        </w:rPr>
        <w:t>系（部）</w:t>
      </w:r>
      <w:r w:rsidRPr="009E1F3E">
        <w:rPr>
          <w:rFonts w:ascii="仿宋_GB2312" w:eastAsia="仿宋_GB2312" w:hAnsi="仿宋" w:hint="eastAsia"/>
          <w:sz w:val="30"/>
          <w:szCs w:val="30"/>
        </w:rPr>
        <w:t>在2017年</w:t>
      </w:r>
      <w:r w:rsidR="00F047AD" w:rsidRPr="009E1F3E">
        <w:rPr>
          <w:rFonts w:ascii="仿宋_GB2312" w:eastAsia="仿宋_GB2312" w:hAnsi="仿宋" w:hint="eastAsia"/>
          <w:sz w:val="30"/>
          <w:szCs w:val="30"/>
        </w:rPr>
        <w:t>5</w:t>
      </w:r>
      <w:r w:rsidRPr="009E1F3E">
        <w:rPr>
          <w:rFonts w:ascii="仿宋_GB2312" w:eastAsia="仿宋_GB2312" w:hAnsi="仿宋" w:hint="eastAsia"/>
          <w:sz w:val="30"/>
          <w:szCs w:val="30"/>
        </w:rPr>
        <w:t>月</w:t>
      </w:r>
      <w:r w:rsidR="00631E2B" w:rsidRPr="009E1F3E">
        <w:rPr>
          <w:rFonts w:ascii="仿宋_GB2312" w:eastAsia="仿宋_GB2312" w:hAnsi="仿宋"/>
          <w:sz w:val="30"/>
          <w:szCs w:val="30"/>
        </w:rPr>
        <w:t>20</w:t>
      </w:r>
      <w:r w:rsidRPr="009E1F3E">
        <w:rPr>
          <w:rFonts w:ascii="仿宋_GB2312" w:eastAsia="仿宋_GB2312" w:hAnsi="仿宋" w:hint="eastAsia"/>
          <w:sz w:val="30"/>
          <w:szCs w:val="30"/>
        </w:rPr>
        <w:t>日前将自查汇总表（附件2）的纸质版和电子版报送教学办。</w:t>
      </w:r>
    </w:p>
    <w:p w:rsidR="00E01100" w:rsidRPr="009E1F3E" w:rsidRDefault="00E01100" w:rsidP="00E01100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9E1F3E">
        <w:rPr>
          <w:rFonts w:ascii="仿宋_GB2312" w:eastAsia="仿宋_GB2312" w:hAnsi="仿宋" w:hint="eastAsia"/>
          <w:b/>
          <w:sz w:val="30"/>
          <w:szCs w:val="30"/>
        </w:rPr>
        <w:t>2.</w:t>
      </w:r>
      <w:r w:rsidR="00F047AD" w:rsidRPr="009E1F3E">
        <w:rPr>
          <w:rFonts w:ascii="仿宋_GB2312" w:eastAsia="仿宋_GB2312" w:hAnsi="仿宋" w:hint="eastAsia"/>
          <w:b/>
          <w:sz w:val="30"/>
          <w:szCs w:val="30"/>
        </w:rPr>
        <w:t>学院检查及初赛评议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阶段（</w:t>
      </w:r>
      <w:r w:rsidR="002A1D08" w:rsidRPr="009E1F3E">
        <w:rPr>
          <w:rFonts w:ascii="仿宋_GB2312" w:eastAsia="仿宋_GB2312" w:hAnsi="仿宋" w:hint="eastAsia"/>
          <w:b/>
          <w:sz w:val="30"/>
          <w:szCs w:val="30"/>
        </w:rPr>
        <w:t>2017年5月</w:t>
      </w:r>
      <w:r w:rsidR="002A1D08" w:rsidRPr="009E1F3E">
        <w:rPr>
          <w:rFonts w:ascii="仿宋_GB2312" w:eastAsia="仿宋_GB2312" w:hAnsi="仿宋"/>
          <w:b/>
          <w:sz w:val="30"/>
          <w:szCs w:val="30"/>
        </w:rPr>
        <w:t>21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日</w:t>
      </w:r>
      <w:r w:rsidR="00F047AD" w:rsidRPr="009E1F3E">
        <w:rPr>
          <w:rFonts w:ascii="仿宋_GB2312" w:eastAsia="仿宋_GB2312" w:hAnsi="仿宋" w:hint="eastAsia"/>
          <w:b/>
          <w:sz w:val="30"/>
          <w:szCs w:val="30"/>
        </w:rPr>
        <w:t>-</w:t>
      </w:r>
      <w:r w:rsidR="002A1D08" w:rsidRPr="009E1F3E">
        <w:rPr>
          <w:rFonts w:ascii="仿宋_GB2312" w:eastAsia="仿宋_GB2312" w:hAnsi="仿宋" w:hint="eastAsia"/>
          <w:b/>
          <w:sz w:val="30"/>
          <w:szCs w:val="30"/>
        </w:rPr>
        <w:t>6月</w:t>
      </w:r>
      <w:r w:rsidR="002A1D08" w:rsidRPr="009E1F3E">
        <w:rPr>
          <w:rFonts w:ascii="仿宋_GB2312" w:eastAsia="仿宋_GB2312" w:hAnsi="仿宋"/>
          <w:b/>
          <w:sz w:val="30"/>
          <w:szCs w:val="30"/>
        </w:rPr>
        <w:t>21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日</w:t>
      </w:r>
      <w:r w:rsidR="002A1D08" w:rsidRPr="009E1F3E">
        <w:rPr>
          <w:rFonts w:ascii="仿宋_GB2312" w:eastAsia="仿宋_GB2312" w:hAnsi="仿宋" w:hint="eastAsia"/>
          <w:b/>
          <w:sz w:val="30"/>
          <w:szCs w:val="30"/>
        </w:rPr>
        <w:t>（12-16周）</w:t>
      </w:r>
      <w:r w:rsidRPr="009E1F3E">
        <w:rPr>
          <w:rFonts w:ascii="仿宋_GB2312" w:eastAsia="仿宋_GB2312" w:hAnsi="仿宋" w:hint="eastAsia"/>
          <w:b/>
          <w:sz w:val="30"/>
          <w:szCs w:val="30"/>
        </w:rPr>
        <w:t>）</w:t>
      </w:r>
    </w:p>
    <w:p w:rsidR="0069310C" w:rsidRPr="00F047AD" w:rsidRDefault="00E01100" w:rsidP="0069310C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每个系（部）的</w:t>
      </w:r>
      <w:r w:rsidRPr="00A73E10">
        <w:rPr>
          <w:rFonts w:ascii="仿宋_GB2312" w:eastAsia="仿宋_GB2312" w:hAnsi="仿宋" w:hint="eastAsia"/>
          <w:sz w:val="30"/>
          <w:szCs w:val="30"/>
        </w:rPr>
        <w:t>每个专业</w:t>
      </w:r>
      <w:r>
        <w:rPr>
          <w:rFonts w:ascii="仿宋_GB2312" w:eastAsia="仿宋_GB2312" w:hAnsi="仿宋" w:hint="eastAsia"/>
          <w:sz w:val="30"/>
          <w:szCs w:val="30"/>
        </w:rPr>
        <w:t>应</w:t>
      </w:r>
      <w:r w:rsidR="00F047AD">
        <w:rPr>
          <w:rFonts w:ascii="仿宋_GB2312" w:eastAsia="仿宋_GB2312" w:hAnsi="仿宋" w:hint="eastAsia"/>
          <w:sz w:val="30"/>
          <w:szCs w:val="30"/>
        </w:rPr>
        <w:t>推荐</w:t>
      </w:r>
      <w:r>
        <w:rPr>
          <w:rFonts w:ascii="仿宋_GB2312" w:eastAsia="仿宋_GB2312" w:hAnsi="仿宋" w:hint="eastAsia"/>
          <w:sz w:val="30"/>
          <w:szCs w:val="30"/>
        </w:rPr>
        <w:t>有</w:t>
      </w:r>
      <w:r w:rsidRPr="00A73E10">
        <w:rPr>
          <w:rFonts w:ascii="仿宋_GB2312" w:eastAsia="仿宋_GB2312" w:hAnsi="仿宋" w:hint="eastAsia"/>
          <w:sz w:val="30"/>
          <w:szCs w:val="30"/>
        </w:rPr>
        <w:t>不少于</w:t>
      </w:r>
      <w:r w:rsidR="00A22E03" w:rsidRPr="00EE778C">
        <w:rPr>
          <w:rFonts w:ascii="仿宋_GB2312" w:eastAsia="仿宋_GB2312" w:hAnsi="仿宋" w:hint="eastAsia"/>
          <w:sz w:val="30"/>
          <w:szCs w:val="30"/>
        </w:rPr>
        <w:t>2</w:t>
      </w:r>
      <w:r w:rsidR="00F047AD" w:rsidRPr="00EE778C">
        <w:rPr>
          <w:rFonts w:ascii="仿宋_GB2312" w:eastAsia="仿宋_GB2312" w:hAnsi="仿宋" w:hint="eastAsia"/>
          <w:sz w:val="30"/>
          <w:szCs w:val="30"/>
        </w:rPr>
        <w:t>门课</w:t>
      </w:r>
      <w:r w:rsidR="00F047AD">
        <w:rPr>
          <w:rFonts w:ascii="仿宋_GB2312" w:eastAsia="仿宋_GB2312" w:hAnsi="仿宋" w:hint="eastAsia"/>
          <w:sz w:val="30"/>
          <w:szCs w:val="30"/>
        </w:rPr>
        <w:t>程的</w:t>
      </w:r>
      <w:r w:rsidR="0069310C">
        <w:rPr>
          <w:rFonts w:ascii="仿宋_GB2312" w:eastAsia="仿宋_GB2312" w:hAnsi="仿宋" w:hint="eastAsia"/>
          <w:sz w:val="30"/>
          <w:szCs w:val="30"/>
        </w:rPr>
        <w:t>优秀</w:t>
      </w:r>
      <w:r w:rsidR="00F047AD">
        <w:rPr>
          <w:rFonts w:ascii="仿宋_GB2312" w:eastAsia="仿宋_GB2312" w:hAnsi="仿宋" w:hint="eastAsia"/>
          <w:sz w:val="30"/>
          <w:szCs w:val="30"/>
        </w:rPr>
        <w:t>教学课件参赛</w:t>
      </w:r>
      <w:r w:rsidRPr="00A73E10">
        <w:rPr>
          <w:rFonts w:ascii="仿宋_GB2312" w:eastAsia="仿宋_GB2312" w:hAnsi="仿宋" w:hint="eastAsia"/>
          <w:sz w:val="30"/>
          <w:szCs w:val="30"/>
        </w:rPr>
        <w:t>。</w:t>
      </w:r>
      <w:r w:rsidR="0069310C">
        <w:rPr>
          <w:rFonts w:ascii="仿宋_GB2312" w:eastAsia="仿宋_GB2312" w:hAnsi="仿宋" w:hint="eastAsia"/>
          <w:sz w:val="30"/>
          <w:szCs w:val="30"/>
        </w:rPr>
        <w:t>学院将</w:t>
      </w:r>
      <w:r w:rsidR="0069310C" w:rsidRPr="00F047AD">
        <w:rPr>
          <w:rFonts w:ascii="仿宋_GB2312" w:eastAsia="仿宋_GB2312" w:hAnsi="仿宋" w:hint="eastAsia"/>
          <w:sz w:val="30"/>
          <w:szCs w:val="30"/>
        </w:rPr>
        <w:t>成立评审组，对参赛教师的教学课件进行评审，并在教师自选的3节课程的教学课件中任意抽取1节进行10分钟现场讲课评比，选出优秀课件。</w:t>
      </w:r>
      <w:r w:rsidR="002A1D08">
        <w:rPr>
          <w:rFonts w:ascii="仿宋_GB2312" w:eastAsia="仿宋_GB2312" w:hAnsi="仿宋" w:hint="eastAsia"/>
          <w:sz w:val="30"/>
          <w:szCs w:val="30"/>
        </w:rPr>
        <w:t>教师发展</w:t>
      </w:r>
      <w:r w:rsidR="0069310C" w:rsidRPr="00A73E10">
        <w:rPr>
          <w:rFonts w:ascii="仿宋_GB2312" w:eastAsia="仿宋_GB2312" w:hAnsi="仿宋" w:hint="eastAsia"/>
          <w:sz w:val="30"/>
          <w:szCs w:val="30"/>
        </w:rPr>
        <w:t>中心将安排专家全程参与初赛过程</w:t>
      </w:r>
      <w:r w:rsidR="00A30396">
        <w:rPr>
          <w:rFonts w:ascii="仿宋_GB2312" w:eastAsia="仿宋_GB2312" w:hAnsi="仿宋" w:hint="eastAsia"/>
          <w:sz w:val="30"/>
          <w:szCs w:val="30"/>
        </w:rPr>
        <w:t>。</w:t>
      </w:r>
    </w:p>
    <w:p w:rsidR="0010469E" w:rsidRDefault="00E01100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在此期间，学</w:t>
      </w:r>
      <w:r w:rsidR="00F047AD">
        <w:rPr>
          <w:rFonts w:ascii="仿宋_GB2312" w:eastAsia="仿宋_GB2312" w:hAnsi="仿宋" w:hint="eastAsia"/>
          <w:sz w:val="30"/>
          <w:szCs w:val="30"/>
        </w:rPr>
        <w:t>院</w:t>
      </w:r>
      <w:r w:rsidRPr="00A73E10">
        <w:rPr>
          <w:rFonts w:ascii="仿宋_GB2312" w:eastAsia="仿宋_GB2312" w:hAnsi="仿宋" w:hint="eastAsia"/>
          <w:sz w:val="30"/>
          <w:szCs w:val="30"/>
        </w:rPr>
        <w:t>将组织专家对各</w:t>
      </w:r>
      <w:r w:rsidR="0069310C">
        <w:rPr>
          <w:rFonts w:ascii="仿宋_GB2312" w:eastAsia="仿宋_GB2312" w:hAnsi="仿宋" w:hint="eastAsia"/>
          <w:sz w:val="30"/>
          <w:szCs w:val="30"/>
        </w:rPr>
        <w:t>系（部）</w:t>
      </w:r>
      <w:r w:rsidRPr="00A73E10">
        <w:rPr>
          <w:rFonts w:ascii="仿宋_GB2312" w:eastAsia="仿宋_GB2312" w:hAnsi="仿宋" w:hint="eastAsia"/>
          <w:sz w:val="30"/>
          <w:szCs w:val="30"/>
        </w:rPr>
        <w:t>的自查情况进行</w:t>
      </w:r>
      <w:r w:rsidR="00F047AD">
        <w:rPr>
          <w:rFonts w:ascii="仿宋_GB2312" w:eastAsia="仿宋_GB2312" w:hAnsi="仿宋" w:hint="eastAsia"/>
          <w:sz w:val="30"/>
          <w:szCs w:val="30"/>
        </w:rPr>
        <w:t>检查</w:t>
      </w:r>
      <w:r w:rsidRPr="00A73E10">
        <w:rPr>
          <w:rFonts w:ascii="仿宋_GB2312" w:eastAsia="仿宋_GB2312" w:hAnsi="仿宋" w:hint="eastAsia"/>
          <w:sz w:val="30"/>
          <w:szCs w:val="30"/>
        </w:rPr>
        <w:t>，对不合格的课件，将限期整改。</w:t>
      </w:r>
    </w:p>
    <w:p w:rsidR="002A1D08" w:rsidRDefault="002A1D08" w:rsidP="00E01100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3.学校抽查阶段（7月3日-7月19日</w:t>
      </w:r>
      <w:r w:rsidR="00A30396">
        <w:rPr>
          <w:rFonts w:ascii="仿宋_GB2312" w:eastAsia="仿宋_GB2312" w:hAnsi="仿宋" w:hint="eastAsia"/>
          <w:sz w:val="30"/>
          <w:szCs w:val="30"/>
        </w:rPr>
        <w:t>（18-20周）</w:t>
      </w:r>
      <w:r>
        <w:rPr>
          <w:rFonts w:ascii="仿宋_GB2312" w:eastAsia="仿宋_GB2312" w:hAnsi="仿宋" w:hint="eastAsia"/>
          <w:sz w:val="30"/>
          <w:szCs w:val="30"/>
        </w:rPr>
        <w:t>），学校将组织专家对文学院的自查情况进行抽查</w:t>
      </w:r>
      <w:r w:rsidR="00A30396">
        <w:rPr>
          <w:rFonts w:ascii="仿宋_GB2312" w:eastAsia="仿宋_GB2312" w:hAnsi="仿宋" w:hint="eastAsia"/>
          <w:sz w:val="30"/>
          <w:szCs w:val="30"/>
        </w:rPr>
        <w:t>，对不合格的课件，将限期整改，整改后仍不合格的教师名单将报送教务处。</w:t>
      </w:r>
    </w:p>
    <w:p w:rsidR="00F047AD" w:rsidRPr="00A73E10" w:rsidRDefault="00F047AD" w:rsidP="00F047AD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sz w:val="30"/>
          <w:szCs w:val="30"/>
        </w:rPr>
        <w:t>四、奖励方式</w:t>
      </w:r>
    </w:p>
    <w:p w:rsidR="00F047AD" w:rsidRPr="00A73E10" w:rsidRDefault="00F047AD" w:rsidP="00F047AD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本次比赛将设置一等奖、二等奖、优秀奖</w:t>
      </w:r>
      <w:r>
        <w:rPr>
          <w:rFonts w:ascii="仿宋_GB2312" w:eastAsia="仿宋_GB2312" w:hAnsi="仿宋" w:hint="eastAsia"/>
          <w:sz w:val="30"/>
          <w:szCs w:val="30"/>
        </w:rPr>
        <w:t>若干。</w:t>
      </w:r>
      <w:r w:rsidR="00A22E03" w:rsidRPr="00A73E10">
        <w:rPr>
          <w:rFonts w:ascii="仿宋_GB2312" w:eastAsia="仿宋_GB2312" w:hAnsi="仿宋" w:hint="eastAsia"/>
          <w:sz w:val="30"/>
          <w:szCs w:val="30"/>
        </w:rPr>
        <w:t>对获奖的教师</w:t>
      </w:r>
      <w:r w:rsidR="00A22E03">
        <w:rPr>
          <w:rFonts w:ascii="仿宋_GB2312" w:eastAsia="仿宋_GB2312" w:hAnsi="仿宋" w:hint="eastAsia"/>
          <w:sz w:val="30"/>
          <w:szCs w:val="30"/>
        </w:rPr>
        <w:t>，学院</w:t>
      </w:r>
      <w:r w:rsidR="00A22E03" w:rsidRPr="00A73E10">
        <w:rPr>
          <w:rFonts w:ascii="仿宋_GB2312" w:eastAsia="仿宋_GB2312" w:hAnsi="仿宋" w:hint="eastAsia"/>
          <w:sz w:val="30"/>
          <w:szCs w:val="30"/>
        </w:rPr>
        <w:t>将给予表彰和奖励。</w:t>
      </w:r>
      <w:r w:rsidR="00A30396">
        <w:rPr>
          <w:rFonts w:ascii="仿宋_GB2312" w:eastAsia="仿宋_GB2312" w:hAnsi="仿宋" w:hint="eastAsia"/>
          <w:sz w:val="30"/>
          <w:szCs w:val="30"/>
        </w:rPr>
        <w:t>获得一等奖的</w:t>
      </w:r>
      <w:r w:rsidR="00A22E03">
        <w:rPr>
          <w:rFonts w:ascii="仿宋_GB2312" w:eastAsia="仿宋_GB2312" w:hAnsi="仿宋" w:hint="eastAsia"/>
          <w:sz w:val="30"/>
          <w:szCs w:val="30"/>
        </w:rPr>
        <w:t>优秀</w:t>
      </w:r>
      <w:r>
        <w:rPr>
          <w:rFonts w:ascii="仿宋_GB2312" w:eastAsia="仿宋_GB2312" w:hAnsi="仿宋" w:hint="eastAsia"/>
          <w:sz w:val="30"/>
          <w:szCs w:val="30"/>
        </w:rPr>
        <w:t>教学课件</w:t>
      </w:r>
      <w:r w:rsidR="00A22E03">
        <w:rPr>
          <w:rFonts w:ascii="仿宋_GB2312" w:eastAsia="仿宋_GB2312" w:hAnsi="仿宋" w:hint="eastAsia"/>
          <w:sz w:val="30"/>
          <w:szCs w:val="30"/>
        </w:rPr>
        <w:t>将代表学院</w:t>
      </w:r>
      <w:r>
        <w:rPr>
          <w:rFonts w:ascii="仿宋_GB2312" w:eastAsia="仿宋_GB2312" w:hAnsi="仿宋" w:hint="eastAsia"/>
          <w:sz w:val="30"/>
          <w:szCs w:val="30"/>
        </w:rPr>
        <w:t>参加</w:t>
      </w:r>
      <w:r w:rsidR="0069310C">
        <w:rPr>
          <w:rFonts w:ascii="仿宋_GB2312" w:eastAsia="仿宋_GB2312" w:hAnsi="仿宋" w:hint="eastAsia"/>
          <w:sz w:val="30"/>
          <w:szCs w:val="30"/>
        </w:rPr>
        <w:t>学校的</w:t>
      </w:r>
      <w:r w:rsidR="0069310C" w:rsidRPr="008E7AFE">
        <w:rPr>
          <w:rFonts w:ascii="仿宋_GB2312" w:eastAsia="仿宋_GB2312" w:hAnsi="宋体" w:hint="eastAsia"/>
          <w:color w:val="000000"/>
          <w:sz w:val="30"/>
          <w:szCs w:val="30"/>
        </w:rPr>
        <w:t>教学课件展评活动</w:t>
      </w:r>
      <w:r w:rsidR="0069310C">
        <w:rPr>
          <w:rFonts w:ascii="仿宋_GB2312" w:eastAsia="仿宋_GB2312" w:hAnsi="仿宋" w:hint="eastAsia"/>
          <w:sz w:val="30"/>
          <w:szCs w:val="30"/>
        </w:rPr>
        <w:t>。</w:t>
      </w:r>
    </w:p>
    <w:p w:rsidR="00E7282E" w:rsidRPr="00A73E10" w:rsidRDefault="00E7282E" w:rsidP="00E7282E">
      <w:pPr>
        <w:spacing w:line="52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A73E10">
        <w:rPr>
          <w:rFonts w:ascii="仿宋_GB2312" w:eastAsia="仿宋_GB2312" w:hAnsi="仿宋" w:hint="eastAsia"/>
          <w:b/>
          <w:sz w:val="30"/>
          <w:szCs w:val="30"/>
        </w:rPr>
        <w:t>五、其他事项</w:t>
      </w:r>
    </w:p>
    <w:p w:rsidR="00E7282E" w:rsidRPr="00A73E10" w:rsidRDefault="00E7282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1.各</w:t>
      </w:r>
      <w:r>
        <w:rPr>
          <w:rFonts w:ascii="仿宋_GB2312" w:eastAsia="仿宋_GB2312" w:hAnsi="仿宋" w:hint="eastAsia"/>
          <w:sz w:val="30"/>
          <w:szCs w:val="30"/>
        </w:rPr>
        <w:t>系部</w:t>
      </w:r>
      <w:r w:rsidRPr="00A73E10">
        <w:rPr>
          <w:rFonts w:ascii="仿宋_GB2312" w:eastAsia="仿宋_GB2312" w:hAnsi="仿宋" w:hint="eastAsia"/>
          <w:sz w:val="30"/>
          <w:szCs w:val="30"/>
        </w:rPr>
        <w:t>应高度重视，精心部署，做好教学课件的改进、提高、推荐工作，对整改后仍不能达到要求的课件，应禁止其在课堂上使用。</w:t>
      </w:r>
    </w:p>
    <w:p w:rsidR="00E7282E" w:rsidRPr="00A73E10" w:rsidRDefault="00E7282E" w:rsidP="00E7282E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lastRenderedPageBreak/>
        <w:t>2.</w:t>
      </w:r>
      <w:r w:rsidRPr="00A73E10">
        <w:rPr>
          <w:rFonts w:ascii="仿宋_GB2312" w:eastAsia="仿宋_GB2312" w:hint="eastAsia"/>
          <w:sz w:val="30"/>
          <w:szCs w:val="30"/>
        </w:rPr>
        <w:t>对参赛教学课件的制作软件、制作工具以及风格形式不做限制，由参赛教师自行决定；</w:t>
      </w:r>
      <w:r w:rsidRPr="00A73E10">
        <w:rPr>
          <w:rFonts w:ascii="仿宋_GB2312" w:eastAsia="仿宋_GB2312" w:hAnsi="仿宋" w:hint="eastAsia"/>
          <w:sz w:val="30"/>
          <w:szCs w:val="30"/>
        </w:rPr>
        <w:t>每位参赛教师提交的参赛教学课件限1件；</w:t>
      </w:r>
      <w:r w:rsidRPr="00A73E10">
        <w:rPr>
          <w:rFonts w:ascii="仿宋_GB2312" w:eastAsia="仿宋_GB2312" w:hint="eastAsia"/>
          <w:sz w:val="30"/>
          <w:szCs w:val="30"/>
        </w:rPr>
        <w:t>每件参赛课件的制作者原则上不超过3人；凡参赛的课件应为非正式出版物。</w:t>
      </w:r>
    </w:p>
    <w:p w:rsidR="00E7282E" w:rsidRPr="00A73E10" w:rsidRDefault="00E7282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A73E10">
        <w:rPr>
          <w:rFonts w:ascii="仿宋_GB2312" w:eastAsia="仿宋_GB2312" w:hAnsi="仿宋" w:hint="eastAsia"/>
          <w:sz w:val="30"/>
          <w:szCs w:val="30"/>
        </w:rPr>
        <w:t>3.参赛课件的50% 应为原创，不得抄袭他人作品，侵害他人版权，若发现参赛课件侵犯他人著作权，或有任何不良信息内容，将取消其参赛资格。</w:t>
      </w:r>
    </w:p>
    <w:p w:rsidR="00E01100" w:rsidRPr="00E7282E" w:rsidRDefault="00E01100" w:rsidP="00A22E03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p w:rsidR="007E6094" w:rsidRPr="00E7282E" w:rsidRDefault="00F96DC5" w:rsidP="00A22E03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E7282E">
        <w:rPr>
          <w:rFonts w:ascii="仿宋_GB2312" w:eastAsia="仿宋_GB2312" w:hAnsi="仿宋" w:hint="eastAsia"/>
          <w:sz w:val="30"/>
          <w:szCs w:val="30"/>
        </w:rPr>
        <w:t>附件：</w:t>
      </w:r>
    </w:p>
    <w:p w:rsidR="00F96DC5" w:rsidRPr="00E7282E" w:rsidRDefault="00F96DC5" w:rsidP="00A22E03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E7282E">
        <w:rPr>
          <w:rFonts w:ascii="仿宋_GB2312" w:eastAsia="仿宋_GB2312" w:hAnsi="仿宋" w:hint="eastAsia"/>
          <w:sz w:val="30"/>
          <w:szCs w:val="30"/>
        </w:rPr>
        <w:t>1. 西安建筑科技大学教学课件（PPT）评分标准</w:t>
      </w:r>
    </w:p>
    <w:p w:rsidR="00F96DC5" w:rsidRDefault="00F96DC5" w:rsidP="00A22E03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E7282E">
        <w:rPr>
          <w:rFonts w:ascii="仿宋_GB2312" w:eastAsia="仿宋_GB2312" w:hAnsi="仿宋" w:hint="eastAsia"/>
          <w:sz w:val="30"/>
          <w:szCs w:val="30"/>
        </w:rPr>
        <w:t>2. 文学院教学课件系（部）自查情况汇总表</w:t>
      </w:r>
    </w:p>
    <w:p w:rsidR="00000000" w:rsidRDefault="00923352">
      <w:pPr>
        <w:spacing w:line="52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="0010469E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923352">
        <w:rPr>
          <w:rFonts w:ascii="仿宋_GB2312" w:eastAsia="仿宋_GB2312" w:hAnsi="仿宋" w:hint="eastAsia"/>
          <w:sz w:val="30"/>
          <w:szCs w:val="30"/>
        </w:rPr>
        <w:t>文学院系（部）优秀教学课件推荐汇总表</w:t>
      </w:r>
      <w:bookmarkStart w:id="0" w:name="_GoBack"/>
      <w:bookmarkEnd w:id="0"/>
    </w:p>
    <w:p w:rsidR="00A30396" w:rsidRDefault="00A30396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30396" w:rsidRDefault="00A30396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30396" w:rsidRDefault="00A30396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Pr="009E1F3E" w:rsidRDefault="009E1F3E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30396" w:rsidRDefault="00A30396" w:rsidP="00E7282E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9E1F3E" w:rsidRDefault="009E1F3E"/>
    <w:p w:rsidR="0010469E" w:rsidRDefault="0010469E"/>
    <w:p w:rsidR="0010469E" w:rsidRDefault="0010469E"/>
    <w:p w:rsidR="00F96DC5" w:rsidRDefault="00F96DC5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7E6094" w:rsidRPr="009E1F3E" w:rsidRDefault="007E6094" w:rsidP="007E6094">
      <w:pPr>
        <w:spacing w:line="52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E1F3E">
        <w:rPr>
          <w:rFonts w:asciiTheme="minorEastAsia" w:eastAsiaTheme="minorEastAsia" w:hAnsiTheme="minorEastAsia" w:hint="eastAsia"/>
          <w:b/>
          <w:sz w:val="32"/>
          <w:szCs w:val="32"/>
        </w:rPr>
        <w:t>西安建筑科技大学教学课件（PPT）评分标准</w:t>
      </w:r>
    </w:p>
    <w:tbl>
      <w:tblPr>
        <w:tblpPr w:leftFromText="180" w:rightFromText="180" w:vertAnchor="text" w:tblpXSpec="center"/>
        <w:tblW w:w="8897" w:type="dxa"/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1101"/>
        <w:gridCol w:w="6237"/>
        <w:gridCol w:w="709"/>
        <w:gridCol w:w="850"/>
      </w:tblGrid>
      <w:tr w:rsidR="007E6094" w:rsidRPr="0054792B" w:rsidTr="00653CB8">
        <w:trPr>
          <w:trHeight w:val="40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1E7756" w:rsidRDefault="007E6094" w:rsidP="00653CB8">
            <w:pPr>
              <w:widowControl/>
              <w:jc w:val="center"/>
              <w:rPr>
                <w:rFonts w:ascii="黑体" w:eastAsia="黑体" w:hAnsi="黑体" w:cs="宋体"/>
                <w:b/>
                <w:color w:val="323E32"/>
                <w:sz w:val="24"/>
                <w:szCs w:val="24"/>
              </w:rPr>
            </w:pPr>
            <w:r w:rsidRPr="001E7756">
              <w:rPr>
                <w:rFonts w:ascii="黑体" w:eastAsia="黑体" w:hAnsi="黑体" w:cs="宋体" w:hint="eastAsia"/>
                <w:b/>
                <w:color w:val="323E32"/>
                <w:sz w:val="24"/>
                <w:szCs w:val="24"/>
              </w:rPr>
              <w:t>项目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1E7756" w:rsidRDefault="007E6094" w:rsidP="00653CB8">
            <w:pPr>
              <w:jc w:val="center"/>
              <w:rPr>
                <w:rFonts w:ascii="黑体" w:eastAsia="黑体" w:hAnsi="黑体" w:cs="宋体"/>
                <w:b/>
                <w:color w:val="323E32"/>
                <w:sz w:val="24"/>
                <w:szCs w:val="24"/>
              </w:rPr>
            </w:pPr>
            <w:r w:rsidRPr="001E7756">
              <w:rPr>
                <w:rFonts w:ascii="黑体" w:eastAsia="黑体" w:hAnsi="黑体" w:cs="宋体" w:hint="eastAsia"/>
                <w:b/>
                <w:color w:val="323E32"/>
                <w:sz w:val="24"/>
                <w:szCs w:val="24"/>
              </w:rPr>
              <w:t>具体内容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1E7756" w:rsidRDefault="007E6094" w:rsidP="00653CB8">
            <w:pPr>
              <w:widowControl/>
              <w:jc w:val="center"/>
              <w:rPr>
                <w:rFonts w:ascii="黑体" w:eastAsia="黑体" w:hAnsi="黑体" w:cs="宋体"/>
                <w:b/>
                <w:color w:val="323E32"/>
                <w:sz w:val="24"/>
                <w:szCs w:val="24"/>
              </w:rPr>
            </w:pPr>
            <w:r w:rsidRPr="001E7756">
              <w:rPr>
                <w:rFonts w:ascii="黑体" w:eastAsia="黑体" w:hAnsi="黑体" w:cs="宋体" w:hint="eastAsia"/>
                <w:b/>
                <w:color w:val="323E32"/>
                <w:sz w:val="24"/>
                <w:szCs w:val="24"/>
              </w:rPr>
              <w:t>分值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1E7756" w:rsidRDefault="007E6094" w:rsidP="00653CB8">
            <w:pPr>
              <w:widowControl/>
              <w:jc w:val="center"/>
              <w:rPr>
                <w:rFonts w:ascii="黑体" w:eastAsia="黑体" w:hAnsi="黑体" w:cs="宋体"/>
                <w:b/>
                <w:color w:val="323E32"/>
                <w:sz w:val="24"/>
                <w:szCs w:val="24"/>
              </w:rPr>
            </w:pPr>
            <w:r w:rsidRPr="001E7756">
              <w:rPr>
                <w:rFonts w:ascii="黑体" w:eastAsia="黑体" w:hAnsi="黑体" w:cs="宋体" w:hint="eastAsia"/>
                <w:b/>
                <w:color w:val="323E32"/>
                <w:sz w:val="24"/>
                <w:szCs w:val="24"/>
              </w:rPr>
              <w:t>得分</w:t>
            </w: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科学性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教学内容表述准确，无科学性错误；引用资料准确</w:t>
            </w: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、规范</w:t>
            </w: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无科学性、技术性、政治性错误。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  <w:rPr>
                <w:rFonts w:asciiTheme="minorEastAsia" w:hAnsiTheme="minorEastAsia" w:cs="宋体"/>
                <w:b/>
                <w:bCs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教学</w:t>
            </w:r>
            <w:r w:rsidRPr="00A46148"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DF0857">
              <w:rPr>
                <w:rFonts w:hint="eastAsia"/>
              </w:rPr>
              <w:t>课件首页</w:t>
            </w:r>
            <w:r>
              <w:rPr>
                <w:rFonts w:hint="eastAsia"/>
              </w:rPr>
              <w:t>应有</w:t>
            </w:r>
            <w:r w:rsidRPr="00DF0857">
              <w:rPr>
                <w:rFonts w:hint="eastAsia"/>
              </w:rPr>
              <w:t>课程名称、授课教师姓名及所在单位、授课时间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  <w:rPr>
                <w:rFonts w:asciiTheme="minorEastAsia" w:hAnsiTheme="minorEastAsia" w:cs="宋体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教学内容</w:t>
            </w: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符合教学大纲</w:t>
            </w: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，教学目标明确，</w:t>
            </w:r>
            <w:r w:rsidRPr="001300AC">
              <w:rPr>
                <w:rFonts w:asciiTheme="minorEastAsia" w:hAnsiTheme="minorEastAsia" w:cs="宋体"/>
                <w:color w:val="000000" w:themeColor="text1"/>
                <w:sz w:val="22"/>
              </w:rPr>
              <w:t>提供一目了然的教学意图</w:t>
            </w: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hint="eastAsia"/>
              </w:rPr>
              <w:t>内容结构层次清晰，文字简明扼要；</w:t>
            </w: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突出重点，分散难点，深入浅出，利于学生理解知识。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课件的演示符合知识的内在逻辑体系和学生的认知结构。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</w:pPr>
            <w:r>
              <w:rPr>
                <w:rFonts w:hint="eastAsia"/>
              </w:rPr>
              <w:t>能利用多种策略激发学生的学习兴趣；启发性强，能引导学生观察分析、比较、判断、推理地思考问题，培养学生抽象思维能力。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技术性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课件的制作直观、形象，界面美观，恰当运用多媒体效果，符合学生的视觉心理，利于学生理解知识。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课件的设计新颖，有趣味性，有利于调动学生学习的积极性和主动性。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hint="eastAsia"/>
              </w:rPr>
              <w:t>图片、视频清晰；插入的动画准确生动；音效质量高；导航与链接准确；</w:t>
            </w:r>
            <w:r>
              <w:rPr>
                <w:rStyle w:val="oblogtext"/>
                <w:rFonts w:cs="Arial" w:hint="eastAsia"/>
                <w:color w:val="000000"/>
              </w:rPr>
              <w:t>制作精细，吸引力强，能激发学生学习兴趣。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DF0857">
              <w:rPr>
                <w:rFonts w:hint="eastAsia"/>
              </w:rPr>
              <w:t>每页</w:t>
            </w:r>
            <w:r w:rsidRPr="00DF0857">
              <w:rPr>
                <w:rFonts w:hint="eastAsia"/>
              </w:rPr>
              <w:t>PPT</w:t>
            </w:r>
            <w:r w:rsidRPr="00DF0857">
              <w:rPr>
                <w:rFonts w:hint="eastAsia"/>
              </w:rPr>
              <w:t>内容文字最多不得超过</w:t>
            </w:r>
            <w:r>
              <w:rPr>
                <w:rFonts w:hint="eastAsia"/>
              </w:rPr>
              <w:t>10</w:t>
            </w:r>
            <w:r w:rsidRPr="00DF0857">
              <w:rPr>
                <w:rFonts w:hint="eastAsia"/>
              </w:rPr>
              <w:t>行（图表、公式内容除外）</w:t>
            </w:r>
            <w:r>
              <w:rPr>
                <w:rFonts w:hint="eastAsia"/>
              </w:rPr>
              <w:t>；</w:t>
            </w:r>
            <w:r w:rsidRPr="00DF0857">
              <w:rPr>
                <w:rFonts w:hint="eastAsia"/>
              </w:rPr>
              <w:t>一般标题用</w:t>
            </w:r>
            <w:r w:rsidRPr="00DF0857">
              <w:rPr>
                <w:rFonts w:hint="eastAsia"/>
              </w:rPr>
              <w:t>40</w:t>
            </w:r>
            <w:r w:rsidRPr="00DF0857">
              <w:rPr>
                <w:rFonts w:hint="eastAsia"/>
              </w:rPr>
              <w:t>或</w:t>
            </w:r>
            <w:r w:rsidRPr="00DF0857">
              <w:rPr>
                <w:rFonts w:hint="eastAsia"/>
              </w:rPr>
              <w:t>44</w:t>
            </w:r>
            <w:r w:rsidRPr="00DF0857">
              <w:rPr>
                <w:rFonts w:hint="eastAsia"/>
              </w:rPr>
              <w:t>号字体，正文用</w:t>
            </w:r>
            <w:r w:rsidRPr="00DF0857">
              <w:rPr>
                <w:rFonts w:hint="eastAsia"/>
              </w:rPr>
              <w:t>24-32</w:t>
            </w:r>
            <w:r w:rsidRPr="00DF0857">
              <w:rPr>
                <w:rFonts w:hint="eastAsia"/>
              </w:rPr>
              <w:t>号字体，不得小于</w:t>
            </w:r>
            <w:r w:rsidRPr="00DF0857">
              <w:rPr>
                <w:rFonts w:hint="eastAsia"/>
              </w:rPr>
              <w:t>24</w:t>
            </w:r>
            <w:r w:rsidRPr="00DF0857">
              <w:rPr>
                <w:rFonts w:hint="eastAsia"/>
              </w:rPr>
              <w:t>号（图表、公式内容除外）</w:t>
            </w:r>
            <w:r>
              <w:rPr>
                <w:rFonts w:hint="eastAsia"/>
              </w:rPr>
              <w:t>；全屏文字的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不得一次全部播放。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艺术性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页面布局美观、色彩和谐、生动活泼，色彩搭配协调，视觉效果好，符合视觉心理。</w:t>
            </w:r>
            <w:r>
              <w:rPr>
                <w:rFonts w:hint="eastAsia"/>
              </w:rPr>
              <w:t>界面设计美观大方，布局合理，色彩协调；</w:t>
            </w:r>
            <w:r w:rsidRPr="00DF0857">
              <w:rPr>
                <w:rFonts w:hint="eastAsia"/>
              </w:rPr>
              <w:t>字体颜色</w:t>
            </w:r>
            <w:r>
              <w:rPr>
                <w:rFonts w:hint="eastAsia"/>
              </w:rPr>
              <w:t>与</w:t>
            </w:r>
            <w:r w:rsidRPr="00DF0857">
              <w:rPr>
                <w:rFonts w:hint="eastAsia"/>
              </w:rPr>
              <w:t>背景颜色有强烈对比</w:t>
            </w:r>
            <w:r>
              <w:rPr>
                <w:rFonts w:hint="eastAsia"/>
              </w:rPr>
              <w:t>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567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b/>
                <w:bCs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课件</w:t>
            </w: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中</w:t>
            </w:r>
            <w:r>
              <w:rPr>
                <w:rStyle w:val="oblogtext"/>
                <w:rFonts w:cs="Arial" w:hint="eastAsia"/>
                <w:color w:val="000000"/>
              </w:rPr>
              <w:t>文字、图片、音频、视频、动画、配合恰当，</w:t>
            </w: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所展示的语言文字规范、简洁、明了，具有科学的表现能力，</w:t>
            </w:r>
            <w:r>
              <w:rPr>
                <w:rStyle w:val="oblogtext"/>
                <w:rFonts w:cs="Arial" w:hint="eastAsia"/>
                <w:color w:val="000000"/>
              </w:rPr>
              <w:t>符合教学主题。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460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配音清晰，无杂音，视频、动画播放流畅，对课件有充实作用。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291"/>
        </w:trPr>
        <w:tc>
          <w:tcPr>
            <w:tcW w:w="73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B84B9D" w:rsidRDefault="007E6094" w:rsidP="00653CB8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sz w:val="22"/>
              </w:rPr>
            </w:pPr>
            <w:r w:rsidRPr="00B84B9D">
              <w:rPr>
                <w:rFonts w:asciiTheme="minorEastAsia" w:hAnsiTheme="minorEastAsia" w:cs="宋体" w:hint="eastAsia"/>
                <w:b/>
                <w:color w:val="000000" w:themeColor="text1"/>
                <w:sz w:val="22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B84B9D" w:rsidRDefault="007E6094" w:rsidP="00653CB8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sz w:val="22"/>
              </w:rPr>
            </w:pPr>
            <w:r w:rsidRPr="00B84B9D">
              <w:rPr>
                <w:rFonts w:asciiTheme="minorEastAsia" w:hAnsiTheme="minorEastAsia" w:cs="宋体" w:hint="eastAsia"/>
                <w:b/>
                <w:color w:val="000000" w:themeColor="text1"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411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  <w:ind w:rightChars="-51" w:right="-107"/>
              <w:rPr>
                <w:rFonts w:asciiTheme="minorEastAsia" w:hAnsiTheme="minorEastAsia" w:cs="宋体"/>
                <w:b/>
                <w:bCs/>
                <w:color w:val="000000" w:themeColor="text1"/>
                <w:sz w:val="22"/>
              </w:rPr>
            </w:pPr>
            <w:r w:rsidRPr="001300AC"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现场讲解</w:t>
            </w:r>
          </w:p>
          <w:p w:rsidR="007E6094" w:rsidRPr="00A46148" w:rsidRDefault="007E6094" w:rsidP="00653CB8">
            <w:pPr>
              <w:widowControl/>
              <w:ind w:leftChars="-67" w:rightChars="-51" w:right="-107" w:hangingChars="64" w:hanging="141"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sz w:val="22"/>
              </w:rPr>
              <w:t>（附加）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对课件目标把握准确，课件能直突出教学重点难点。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391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A46148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能够把握课件的特色，能准确阐释课件创新点和亮点。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423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7361BA"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授课过程中，课件播放节奏把握恰当，能紧紧抓住学生的注意力。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376"/>
        </w:trPr>
        <w:tc>
          <w:tcPr>
            <w:tcW w:w="11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hint="eastAsia"/>
              </w:rPr>
              <w:t>原则上，每页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讲授时间以不超过</w:t>
            </w:r>
            <w:r>
              <w:t>3</w:t>
            </w:r>
            <w:r>
              <w:rPr>
                <w:rFonts w:hint="eastAsia"/>
              </w:rPr>
              <w:t>—</w:t>
            </w:r>
            <w:r>
              <w:t>5</w:t>
            </w:r>
            <w:r>
              <w:rPr>
                <w:rFonts w:hint="eastAsia"/>
              </w:rPr>
              <w:t>分钟为宜。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411"/>
        </w:trPr>
        <w:tc>
          <w:tcPr>
            <w:tcW w:w="11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Default="007E6094" w:rsidP="00653CB8">
            <w:pPr>
              <w:widowControl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的实际视觉效果好。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015E4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7E6094" w:rsidRPr="0054792B" w:rsidTr="00653CB8">
        <w:trPr>
          <w:trHeight w:val="255"/>
        </w:trPr>
        <w:tc>
          <w:tcPr>
            <w:tcW w:w="73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B84B9D" w:rsidRDefault="007E6094" w:rsidP="00653CB8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2"/>
              </w:rPr>
            </w:pPr>
            <w:r w:rsidRPr="00B84B9D">
              <w:rPr>
                <w:rFonts w:asciiTheme="minorEastAsia" w:hAnsiTheme="minorEastAsia" w:cs="宋体" w:hint="eastAsia"/>
                <w:b/>
                <w:color w:val="000000" w:themeColor="text1"/>
                <w:sz w:val="22"/>
              </w:rPr>
              <w:t>合计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6094" w:rsidRPr="00B84B9D" w:rsidRDefault="007E6094" w:rsidP="00653CB8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 w:val="22"/>
              </w:rPr>
            </w:pPr>
            <w:r w:rsidRPr="00B84B9D">
              <w:rPr>
                <w:rFonts w:asciiTheme="minorEastAsia" w:hAnsiTheme="minorEastAsia" w:cs="宋体" w:hint="eastAsia"/>
                <w:b/>
                <w:color w:val="000000" w:themeColor="text1"/>
                <w:sz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94" w:rsidRPr="00A46148" w:rsidRDefault="007E6094" w:rsidP="00653CB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</w:tbl>
    <w:p w:rsidR="007E6094" w:rsidRDefault="007E6094" w:rsidP="005E1A28">
      <w:pPr>
        <w:snapToGrid w:val="0"/>
        <w:spacing w:beforeLines="50"/>
        <w:rPr>
          <w:rFonts w:eastAsia="黑体"/>
          <w:szCs w:val="21"/>
        </w:rPr>
      </w:pPr>
      <w:r w:rsidRPr="00A015E4">
        <w:rPr>
          <w:rFonts w:eastAsia="黑体" w:hint="eastAsia"/>
          <w:szCs w:val="21"/>
        </w:rPr>
        <w:t>注：</w:t>
      </w:r>
      <w:r>
        <w:rPr>
          <w:rFonts w:eastAsia="黑体" w:hint="eastAsia"/>
          <w:szCs w:val="21"/>
        </w:rPr>
        <w:t>1.</w:t>
      </w:r>
      <w:r>
        <w:rPr>
          <w:rFonts w:eastAsia="黑体" w:hint="eastAsia"/>
          <w:szCs w:val="21"/>
        </w:rPr>
        <w:t>若教学课件为</w:t>
      </w:r>
      <w:r>
        <w:rPr>
          <w:rFonts w:eastAsia="黑体" w:hint="eastAsia"/>
          <w:szCs w:val="21"/>
        </w:rPr>
        <w:t>PPT</w:t>
      </w:r>
      <w:r>
        <w:rPr>
          <w:rFonts w:eastAsia="黑体" w:hint="eastAsia"/>
          <w:szCs w:val="21"/>
        </w:rPr>
        <w:t>以外的形式，参照本评分标准进行评价。</w:t>
      </w:r>
    </w:p>
    <w:p w:rsidR="007E6094" w:rsidRDefault="007E6094" w:rsidP="007E6094">
      <w:pPr>
        <w:snapToGrid w:val="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2.</w:t>
      </w:r>
      <w:r>
        <w:rPr>
          <w:rFonts w:eastAsia="黑体" w:hint="eastAsia"/>
          <w:szCs w:val="21"/>
        </w:rPr>
        <w:t>现场讲解为附加分，仅在学校评比时采用。</w:t>
      </w:r>
    </w:p>
    <w:p w:rsidR="007E6094" w:rsidRDefault="007E6094">
      <w:pPr>
        <w:sectPr w:rsidR="007E6094" w:rsidSect="002D28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6094" w:rsidRPr="00CD08B7" w:rsidRDefault="007E6094" w:rsidP="007E6094">
      <w:pPr>
        <w:rPr>
          <w:rFonts w:eastAsia="黑体"/>
          <w:sz w:val="28"/>
          <w:szCs w:val="28"/>
        </w:rPr>
      </w:pPr>
      <w:r w:rsidRPr="00CD08B7">
        <w:rPr>
          <w:rFonts w:eastAsia="黑体"/>
          <w:sz w:val="28"/>
          <w:szCs w:val="28"/>
        </w:rPr>
        <w:lastRenderedPageBreak/>
        <w:t>附件</w:t>
      </w:r>
      <w:r w:rsidRPr="00CD08B7"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:</w:t>
      </w:r>
    </w:p>
    <w:p w:rsidR="007E6094" w:rsidRPr="009E1F3E" w:rsidRDefault="00653BCA" w:rsidP="007E6094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E1F3E">
        <w:rPr>
          <w:rFonts w:asciiTheme="minorEastAsia" w:eastAsiaTheme="minorEastAsia" w:hAnsiTheme="minorEastAsia" w:hint="eastAsia"/>
          <w:b/>
          <w:sz w:val="32"/>
          <w:szCs w:val="32"/>
        </w:rPr>
        <w:t>文学院</w:t>
      </w:r>
      <w:r w:rsidR="007E6094" w:rsidRPr="009E1F3E">
        <w:rPr>
          <w:rFonts w:asciiTheme="minorEastAsia" w:eastAsiaTheme="minorEastAsia" w:hAnsiTheme="minorEastAsia" w:hint="eastAsia"/>
          <w:b/>
          <w:sz w:val="32"/>
          <w:szCs w:val="32"/>
        </w:rPr>
        <w:t>教学课件</w:t>
      </w:r>
      <w:r w:rsidRPr="009E1F3E">
        <w:rPr>
          <w:rFonts w:asciiTheme="minorEastAsia" w:eastAsiaTheme="minorEastAsia" w:hAnsiTheme="minorEastAsia" w:hint="eastAsia"/>
          <w:b/>
          <w:sz w:val="32"/>
          <w:szCs w:val="32"/>
        </w:rPr>
        <w:t>系（部）</w:t>
      </w:r>
      <w:r w:rsidR="007E6094" w:rsidRPr="009E1F3E">
        <w:rPr>
          <w:rFonts w:asciiTheme="minorEastAsia" w:eastAsiaTheme="minorEastAsia" w:hAnsiTheme="minorEastAsia" w:hint="eastAsia"/>
          <w:b/>
          <w:sz w:val="32"/>
          <w:szCs w:val="32"/>
        </w:rPr>
        <w:t>自查情况汇总表</w:t>
      </w:r>
    </w:p>
    <w:p w:rsidR="007E6094" w:rsidRPr="00B84B9D" w:rsidRDefault="007E6094" w:rsidP="007E6094">
      <w:pPr>
        <w:spacing w:line="520" w:lineRule="exact"/>
        <w:rPr>
          <w:bCs/>
          <w:sz w:val="24"/>
          <w:szCs w:val="24"/>
        </w:rPr>
      </w:pPr>
    </w:p>
    <w:p w:rsidR="007E6094" w:rsidRPr="0069310C" w:rsidRDefault="00A22E03" w:rsidP="007E6094">
      <w:pPr>
        <w:spacing w:line="520" w:lineRule="exact"/>
        <w:ind w:firstLineChars="400" w:firstLine="960"/>
        <w:rPr>
          <w:bCs/>
          <w:sz w:val="24"/>
          <w:szCs w:val="24"/>
        </w:rPr>
      </w:pPr>
      <w:r w:rsidRPr="0069310C">
        <w:rPr>
          <w:rFonts w:hint="eastAsia"/>
          <w:bCs/>
          <w:sz w:val="24"/>
          <w:szCs w:val="24"/>
        </w:rPr>
        <w:t>系</w:t>
      </w:r>
      <w:r>
        <w:rPr>
          <w:rFonts w:hint="eastAsia"/>
          <w:bCs/>
          <w:sz w:val="24"/>
          <w:szCs w:val="24"/>
        </w:rPr>
        <w:t>（部）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886"/>
        <w:gridCol w:w="5386"/>
        <w:gridCol w:w="2235"/>
        <w:gridCol w:w="1734"/>
      </w:tblGrid>
      <w:tr w:rsidR="007E6094" w:rsidRPr="00B84B9D" w:rsidTr="00653CB8">
        <w:trPr>
          <w:trHeight w:hRule="exact" w:val="802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 w:rsidRPr="00B84B9D"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授课教师</w:t>
            </w:r>
          </w:p>
        </w:tc>
        <w:tc>
          <w:tcPr>
            <w:tcW w:w="2235" w:type="dxa"/>
            <w:vAlign w:val="center"/>
          </w:tcPr>
          <w:p w:rsidR="007E6094" w:rsidRPr="00305458" w:rsidRDefault="007E6094" w:rsidP="00653CB8"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 w:rsidRPr="00305458">
              <w:rPr>
                <w:rFonts w:hint="eastAsia"/>
                <w:bCs/>
                <w:sz w:val="24"/>
                <w:szCs w:val="24"/>
              </w:rPr>
              <w:t>课件情况</w:t>
            </w:r>
          </w:p>
          <w:p w:rsidR="007E6094" w:rsidRPr="00305458" w:rsidRDefault="007E6094" w:rsidP="00653CB8">
            <w:pPr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05458">
              <w:rPr>
                <w:rFonts w:hint="eastAsia"/>
                <w:sz w:val="18"/>
                <w:szCs w:val="18"/>
              </w:rPr>
              <w:t>优秀</w:t>
            </w:r>
            <w:r w:rsidRPr="00305458">
              <w:rPr>
                <w:rFonts w:hint="eastAsia"/>
                <w:sz w:val="18"/>
                <w:szCs w:val="18"/>
              </w:rPr>
              <w:t>/</w:t>
            </w:r>
            <w:r w:rsidRPr="00305458">
              <w:rPr>
                <w:rFonts w:hint="eastAsia"/>
                <w:sz w:val="18"/>
                <w:szCs w:val="18"/>
              </w:rPr>
              <w:t>合格</w:t>
            </w:r>
            <w:r w:rsidRPr="00305458">
              <w:rPr>
                <w:rFonts w:hint="eastAsia"/>
                <w:sz w:val="18"/>
                <w:szCs w:val="18"/>
              </w:rPr>
              <w:t>/</w:t>
            </w:r>
            <w:r w:rsidRPr="00305458">
              <w:rPr>
                <w:rFonts w:hint="eastAsia"/>
                <w:sz w:val="18"/>
                <w:szCs w:val="18"/>
              </w:rPr>
              <w:t>不合格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 w:rsidRPr="00B84B9D"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E6094" w:rsidRPr="00B84B9D" w:rsidTr="00653CB8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7E6094" w:rsidRPr="00B84B9D" w:rsidRDefault="007E6094" w:rsidP="00653CB8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E6094" w:rsidRPr="00B84B9D" w:rsidRDefault="0069310C" w:rsidP="007E6094">
      <w:pPr>
        <w:autoSpaceDE w:val="0"/>
        <w:autoSpaceDN w:val="0"/>
        <w:spacing w:line="520" w:lineRule="exact"/>
        <w:ind w:firstLineChars="450" w:firstLine="1035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系（部）主任签名：</w:t>
      </w:r>
    </w:p>
    <w:p w:rsidR="007E6094" w:rsidRDefault="007E6094" w:rsidP="00761749"/>
    <w:p w:rsidR="00A22E03" w:rsidRDefault="00A22E03" w:rsidP="00761749"/>
    <w:p w:rsidR="00A22E03" w:rsidRPr="00CD08B7" w:rsidRDefault="00A22E03" w:rsidP="00A22E03">
      <w:pPr>
        <w:rPr>
          <w:rFonts w:eastAsia="黑体"/>
          <w:sz w:val="28"/>
          <w:szCs w:val="28"/>
        </w:rPr>
      </w:pPr>
      <w:r w:rsidRPr="00CD08B7">
        <w:rPr>
          <w:rFonts w:eastAsia="黑体" w:hint="eastAsia"/>
          <w:sz w:val="28"/>
          <w:szCs w:val="28"/>
        </w:rPr>
        <w:lastRenderedPageBreak/>
        <w:t>附件</w:t>
      </w:r>
      <w:r w:rsidR="00923352">
        <w:rPr>
          <w:rFonts w:eastAsia="黑体" w:hint="eastAsia"/>
          <w:sz w:val="28"/>
          <w:szCs w:val="28"/>
        </w:rPr>
        <w:t>3</w:t>
      </w:r>
      <w:r w:rsidRPr="00CD08B7">
        <w:rPr>
          <w:rFonts w:eastAsia="黑体" w:hint="eastAsia"/>
          <w:sz w:val="28"/>
          <w:szCs w:val="28"/>
        </w:rPr>
        <w:t>：</w:t>
      </w:r>
    </w:p>
    <w:p w:rsidR="00A22E03" w:rsidRPr="009E1F3E" w:rsidRDefault="00A22E03" w:rsidP="00A22E03">
      <w:pPr>
        <w:pStyle w:val="Default"/>
        <w:spacing w:line="520" w:lineRule="exact"/>
        <w:jc w:val="center"/>
        <w:rPr>
          <w:rFonts w:asciiTheme="minorEastAsia" w:eastAsiaTheme="minorEastAsia" w:hAnsiTheme="minorEastAsia" w:cs="Times New Roman"/>
          <w:b/>
          <w:color w:val="auto"/>
          <w:sz w:val="32"/>
          <w:szCs w:val="32"/>
        </w:rPr>
      </w:pPr>
      <w:r w:rsidRPr="009E1F3E">
        <w:rPr>
          <w:rFonts w:asciiTheme="minorEastAsia" w:eastAsiaTheme="minorEastAsia" w:hAnsiTheme="minorEastAsia" w:hint="eastAsia"/>
          <w:b/>
          <w:sz w:val="32"/>
          <w:szCs w:val="32"/>
        </w:rPr>
        <w:t>文学院系（部）优秀教学课件推荐汇总表</w:t>
      </w:r>
    </w:p>
    <w:p w:rsidR="00A22E03" w:rsidRPr="0069310C" w:rsidRDefault="00A22E03" w:rsidP="00A22E03">
      <w:pPr>
        <w:spacing w:line="520" w:lineRule="exact"/>
        <w:ind w:firstLineChars="400" w:firstLine="960"/>
        <w:rPr>
          <w:bCs/>
          <w:sz w:val="24"/>
          <w:szCs w:val="24"/>
        </w:rPr>
      </w:pPr>
      <w:r w:rsidRPr="0069310C">
        <w:rPr>
          <w:rFonts w:hint="eastAsia"/>
          <w:bCs/>
          <w:sz w:val="24"/>
          <w:szCs w:val="24"/>
        </w:rPr>
        <w:t>系</w:t>
      </w:r>
      <w:r>
        <w:rPr>
          <w:rFonts w:hint="eastAsia"/>
          <w:bCs/>
          <w:sz w:val="24"/>
          <w:szCs w:val="24"/>
        </w:rPr>
        <w:t>（部）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886"/>
        <w:gridCol w:w="5386"/>
        <w:gridCol w:w="2235"/>
        <w:gridCol w:w="1734"/>
      </w:tblGrid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Default="00A22E03" w:rsidP="0041454F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1886" w:type="dxa"/>
            <w:vAlign w:val="center"/>
          </w:tcPr>
          <w:p w:rsidR="00A22E03" w:rsidRDefault="00A22E03" w:rsidP="0041454F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5386" w:type="dxa"/>
            <w:vAlign w:val="center"/>
          </w:tcPr>
          <w:p w:rsidR="00A22E03" w:rsidRDefault="00A22E03" w:rsidP="0041454F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课件名称</w:t>
            </w:r>
          </w:p>
        </w:tc>
        <w:tc>
          <w:tcPr>
            <w:tcW w:w="2235" w:type="dxa"/>
            <w:vAlign w:val="center"/>
          </w:tcPr>
          <w:p w:rsidR="00A22E03" w:rsidRDefault="00A22E03" w:rsidP="0041454F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联系电话</w:t>
            </w:r>
          </w:p>
        </w:tc>
        <w:tc>
          <w:tcPr>
            <w:tcW w:w="1734" w:type="dxa"/>
            <w:vAlign w:val="center"/>
          </w:tcPr>
          <w:p w:rsidR="00A22E03" w:rsidRDefault="00A22E03" w:rsidP="0041454F">
            <w:pPr>
              <w:spacing w:line="5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A22E03" w:rsidTr="0041454F">
        <w:trPr>
          <w:trHeight w:hRule="exact" w:val="688"/>
          <w:jc w:val="center"/>
        </w:trPr>
        <w:tc>
          <w:tcPr>
            <w:tcW w:w="1233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22E03" w:rsidRPr="00454DFE" w:rsidRDefault="00A22E03" w:rsidP="0041454F">
            <w:pPr>
              <w:widowControl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22E03" w:rsidRPr="00B84B9D" w:rsidRDefault="00A22E03" w:rsidP="00A22E03">
      <w:pPr>
        <w:autoSpaceDE w:val="0"/>
        <w:autoSpaceDN w:val="0"/>
        <w:spacing w:line="520" w:lineRule="exact"/>
        <w:ind w:firstLineChars="450" w:firstLine="1035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系（部）主任签名：</w:t>
      </w:r>
    </w:p>
    <w:p w:rsidR="00A22E03" w:rsidRPr="00A22E03" w:rsidRDefault="00A22E03" w:rsidP="00761749"/>
    <w:sectPr w:rsidR="00A22E03" w:rsidRPr="00A22E03" w:rsidSect="007617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4A" w:rsidRDefault="0005714A" w:rsidP="007E6094">
      <w:pPr>
        <w:spacing w:line="240" w:lineRule="auto"/>
      </w:pPr>
      <w:r>
        <w:separator/>
      </w:r>
    </w:p>
  </w:endnote>
  <w:endnote w:type="continuationSeparator" w:id="1">
    <w:p w:rsidR="0005714A" w:rsidRDefault="0005714A" w:rsidP="007E6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4A" w:rsidRDefault="0005714A" w:rsidP="007E6094">
      <w:pPr>
        <w:spacing w:line="240" w:lineRule="auto"/>
      </w:pPr>
      <w:r>
        <w:separator/>
      </w:r>
    </w:p>
  </w:footnote>
  <w:footnote w:type="continuationSeparator" w:id="1">
    <w:p w:rsidR="0005714A" w:rsidRDefault="0005714A" w:rsidP="007E6094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2980288619@qq.com">
    <w15:presenceInfo w15:providerId="Windows Live" w15:userId="c17c873b6ac138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FE"/>
    <w:rsid w:val="0005714A"/>
    <w:rsid w:val="000F7C29"/>
    <w:rsid w:val="0010469E"/>
    <w:rsid w:val="002A1D08"/>
    <w:rsid w:val="002D283B"/>
    <w:rsid w:val="00321CCB"/>
    <w:rsid w:val="003964B5"/>
    <w:rsid w:val="003B0F07"/>
    <w:rsid w:val="00456979"/>
    <w:rsid w:val="004726AD"/>
    <w:rsid w:val="005E1A28"/>
    <w:rsid w:val="006253FF"/>
    <w:rsid w:val="00631E2B"/>
    <w:rsid w:val="00653BCA"/>
    <w:rsid w:val="0069310C"/>
    <w:rsid w:val="006F62D6"/>
    <w:rsid w:val="00761749"/>
    <w:rsid w:val="007E6094"/>
    <w:rsid w:val="008857C7"/>
    <w:rsid w:val="008E7AFE"/>
    <w:rsid w:val="00900DA8"/>
    <w:rsid w:val="00923352"/>
    <w:rsid w:val="009712D0"/>
    <w:rsid w:val="009E1F3E"/>
    <w:rsid w:val="00A22E03"/>
    <w:rsid w:val="00A30396"/>
    <w:rsid w:val="00E01100"/>
    <w:rsid w:val="00E7282E"/>
    <w:rsid w:val="00EE778C"/>
    <w:rsid w:val="00F047AD"/>
    <w:rsid w:val="00F7605D"/>
    <w:rsid w:val="00F96DC5"/>
    <w:rsid w:val="00FC04BF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E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09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0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0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oblogtext">
    <w:name w:val="oblogtext"/>
    <w:basedOn w:val="a0"/>
    <w:rsid w:val="007E6094"/>
  </w:style>
  <w:style w:type="table" w:styleId="a5">
    <w:name w:val="Table Grid"/>
    <w:basedOn w:val="a1"/>
    <w:uiPriority w:val="59"/>
    <w:rsid w:val="0076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2E0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3039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039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2017-03-21T03:20:00Z</dcterms:created>
  <dcterms:modified xsi:type="dcterms:W3CDTF">2017-03-21T03:39:00Z</dcterms:modified>
</cp:coreProperties>
</file>